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3AA" w:rsidRDefault="00FE33AA" w:rsidP="00A2243A">
      <w:pPr>
        <w:jc w:val="both"/>
      </w:pPr>
      <w:r>
        <w:t>Si riscontra la nota del 16 u.s. e si chiarisce che il bando di gara al punto III.1.1) specifica già che l’offerta dei concorrenti deve essere corredata da una cauzione provvisoria pari al 2% dell’importo complessivo dell’appalto, a favore dell’Amministrazione aggiudicatrice, secondo le modalità di cui all’articolo 75 del Codice come da voi suggerito.</w:t>
      </w:r>
    </w:p>
    <w:p w:rsidR="00FE33AA" w:rsidRDefault="00FE33AA" w:rsidP="00A2243A">
      <w:pPr>
        <w:jc w:val="both"/>
      </w:pPr>
      <w:r>
        <w:rPr>
          <w:noProof/>
        </w:rPr>
        <w:pict>
          <v:shapetype id="_x0000_t202" coordsize="21600,21600" o:spt="202" path="m,l,21600r21600,l21600,xe">
            <v:stroke joinstyle="miter"/>
            <v:path gradientshapeok="t" o:connecttype="rect"/>
          </v:shapetype>
          <v:shape id="Casella di testo 2" o:spid="_x0000_s1026" type="#_x0000_t202" style="position:absolute;left:0;text-align:left;margin-left:0;margin-top:0;width:468.75pt;height:65.25pt;z-index:251658240;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EBKgIAAE4EAAAOAAAAZHJzL2Uyb0RvYy54bWysVNtu2zAMfR+wfxD0vthx4zYx4hRdugwD&#10;ugvQ7QMYWY6FyaInKbGzry8lp1l2wR6G+UEQRero8JD08nZoNTtI6xSakk8nKWfSCKyU2ZX8y+fN&#10;qzlnzoOpQKORJT9Kx29XL18s+66QGTaoK2kZgRhX9F3JG++7IkmcaGQLboKdNOSs0bbgybS7pLLQ&#10;E3qrkyxNr5MebdVZFNI5Or0fnXwV8etaCv+xrp30TJecuPm42rhuw5qsllDsLHSNEica8A8sWlCG&#10;Hj1D3YMHtrfqN6hWCYsOaz8R2CZY10rImANlM01/yeaxgU7GXEgc151lcv8PVnw4fLJMVSW/Sm84&#10;M9BSkdbgpNbAKsW8dB5ZFnTqO1dQ+GNHF/zwGgeqd8zZdQ8ovjpmcN2A2ck7a7FvJFTEcxpuJhdX&#10;RxwXQLb9e6zoOdh7jEBDbdsgIsnCCJ3qdTzXSA6eCTrMF/nVNMs5E+SbZ/Prmzw+AcXz7c46/1Zi&#10;y8Km5JZ6IKLD4cH5wAaK55DwmEOtqo3SOhp2t11ryw5A/bKJ3wn9pzBtWF/yRU48/g6Rxu9PEK3y&#10;1PhatZTFOQiKINsbU8W29KD0uCfK2px0DNKNIvphO5zqssXqSIpaHBucBpI2DdrvnPXU3CV33/Zg&#10;JWf6naGqLKazWZiGaMzym4wMe+nZXnrACIIqueds3K59nKCQusE7ql6torChzCOTE1dq2qj3acDC&#10;VFzaMerHb2D1BAAA//8DAFBLAwQUAAYACAAAACEADDW+q9wAAAAFAQAADwAAAGRycy9kb3ducmV2&#10;LnhtbEyPzU7DMBCE70i8g7VIXBB1IPQvxKkQEghu0FZwdeNtEmGvg+2m4e1ZuMBlpNWMZr4tV6Oz&#10;YsAQO08KriYZCKTam44aBdvNw+UCREyajLaeUMEXRlhVpyelLow/0isO69QILqFYaAVtSn0hZaxb&#10;dDpOfI/E3t4HpxOfoZEm6COXOyuvs2wmne6IF1rd432L9cf64BQsbp6G9/icv7zVs71dpov58PgZ&#10;lDo/G+9uQSQc018YfvAZHSpm2vkDmSisAn4k/Sp7y3w+BbHjUJ5NQVal/E9ffQMAAP//AwBQSwEC&#10;LQAUAAYACAAAACEAtoM4kv4AAADhAQAAEwAAAAAAAAAAAAAAAAAAAAAAW0NvbnRlbnRfVHlwZXNd&#10;LnhtbFBLAQItABQABgAIAAAAIQA4/SH/1gAAAJQBAAALAAAAAAAAAAAAAAAAAC8BAABfcmVscy8u&#10;cmVsc1BLAQItABQABgAIAAAAIQDEKrEBKgIAAE4EAAAOAAAAAAAAAAAAAAAAAC4CAABkcnMvZTJv&#10;RG9jLnhtbFBLAQItABQABgAIAAAAIQAMNb6r3AAAAAUBAAAPAAAAAAAAAAAAAAAAAIQEAABkcnMv&#10;ZG93bnJldi54bWxQSwUGAAAAAAQABADzAAAAjQUAAAAA&#10;">
            <v:textbox>
              <w:txbxContent>
                <w:p w:rsidR="00FE33AA" w:rsidRPr="005E1FD0" w:rsidRDefault="00FE33AA" w:rsidP="00A2243A">
                  <w:pPr>
                    <w:spacing w:line="276" w:lineRule="auto"/>
                    <w:rPr>
                      <w:b/>
                      <w:bCs/>
                      <w:color w:val="000000"/>
                      <w:sz w:val="22"/>
                      <w:szCs w:val="22"/>
                    </w:rPr>
                  </w:pPr>
                  <w:r w:rsidRPr="005E1FD0">
                    <w:rPr>
                      <w:b/>
                      <w:color w:val="000000"/>
                      <w:sz w:val="22"/>
                      <w:szCs w:val="22"/>
                    </w:rPr>
                    <w:t xml:space="preserve">III.1.1) </w:t>
                  </w:r>
                  <w:r w:rsidRPr="005E1FD0">
                    <w:rPr>
                      <w:b/>
                      <w:bCs/>
                      <w:color w:val="000000"/>
                      <w:sz w:val="22"/>
                      <w:szCs w:val="22"/>
                    </w:rPr>
                    <w:t>Cauzioni e garanzie richieste</w:t>
                  </w:r>
                </w:p>
                <w:p w:rsidR="00FE33AA" w:rsidRPr="00866421" w:rsidRDefault="00FE33AA" w:rsidP="00A2243A">
                  <w:pPr>
                    <w:pStyle w:val="CM28"/>
                    <w:spacing w:after="0" w:line="276" w:lineRule="auto"/>
                    <w:ind w:right="147"/>
                    <w:jc w:val="both"/>
                    <w:rPr>
                      <w:rFonts w:ascii="Times New Roman" w:hAnsi="Times New Roman"/>
                      <w:bCs/>
                      <w:sz w:val="22"/>
                      <w:szCs w:val="22"/>
                    </w:rPr>
                  </w:pPr>
                  <w:r w:rsidRPr="005E1FD0">
                    <w:rPr>
                      <w:rFonts w:ascii="Times New Roman" w:hAnsi="Times New Roman"/>
                      <w:bCs/>
                      <w:color w:val="000000"/>
                      <w:sz w:val="22"/>
                      <w:szCs w:val="22"/>
                    </w:rPr>
                    <w:t xml:space="preserve">L'offerta dei concorrenti deve essere corredata da una cauzione provvisoria pari al </w:t>
                  </w:r>
                  <w:r w:rsidRPr="005E1FD0">
                    <w:rPr>
                      <w:rFonts w:ascii="Times New Roman" w:hAnsi="Times New Roman"/>
                      <w:b/>
                      <w:bCs/>
                      <w:color w:val="000000"/>
                      <w:sz w:val="22"/>
                      <w:szCs w:val="22"/>
                    </w:rPr>
                    <w:t>2%</w:t>
                  </w:r>
                  <w:r w:rsidRPr="005E1FD0">
                    <w:rPr>
                      <w:rFonts w:ascii="Times New Roman" w:hAnsi="Times New Roman"/>
                      <w:bCs/>
                      <w:color w:val="000000"/>
                      <w:sz w:val="22"/>
                      <w:szCs w:val="22"/>
                    </w:rPr>
                    <w:t xml:space="preserve"> dell’importo complessivo dell’appalto, </w:t>
                  </w:r>
                  <w:r>
                    <w:rPr>
                      <w:rFonts w:ascii="Times New Roman" w:hAnsi="Times New Roman"/>
                      <w:bCs/>
                      <w:color w:val="000000"/>
                      <w:sz w:val="22"/>
                      <w:szCs w:val="22"/>
                    </w:rPr>
                    <w:t xml:space="preserve">a </w:t>
                  </w:r>
                  <w:r w:rsidRPr="00626287">
                    <w:rPr>
                      <w:rFonts w:ascii="Times New Roman" w:hAnsi="Times New Roman"/>
                      <w:bCs/>
                      <w:sz w:val="22"/>
                      <w:szCs w:val="22"/>
                    </w:rPr>
                    <w:t>favore</w:t>
                  </w:r>
                  <w:r w:rsidRPr="005E1FD0">
                    <w:rPr>
                      <w:rFonts w:ascii="Times New Roman" w:hAnsi="Times New Roman"/>
                      <w:bCs/>
                      <w:color w:val="000000"/>
                      <w:sz w:val="22"/>
                      <w:szCs w:val="22"/>
                    </w:rPr>
                    <w:t xml:space="preserve"> dell’amministrazione aggiudicatrice, </w:t>
                  </w:r>
                  <w:r w:rsidRPr="005E1FD0">
                    <w:rPr>
                      <w:rFonts w:ascii="Times New Roman" w:hAnsi="Times New Roman"/>
                      <w:bCs/>
                      <w:color w:val="000000"/>
                      <w:sz w:val="22"/>
                      <w:szCs w:val="22"/>
                      <w:u w:val="single"/>
                    </w:rPr>
                    <w:t xml:space="preserve">secondo le modalità di cui all'art. 75 del </w:t>
                  </w:r>
                  <w:r w:rsidRPr="00866421">
                    <w:rPr>
                      <w:rFonts w:ascii="Times New Roman" w:hAnsi="Times New Roman"/>
                      <w:bCs/>
                      <w:i/>
                      <w:sz w:val="22"/>
                      <w:szCs w:val="22"/>
                      <w:u w:val="single"/>
                    </w:rPr>
                    <w:t>Codice</w:t>
                  </w:r>
                  <w:r w:rsidRPr="00866421">
                    <w:rPr>
                      <w:rFonts w:ascii="Times New Roman" w:hAnsi="Times New Roman"/>
                      <w:bCs/>
                      <w:sz w:val="22"/>
                      <w:szCs w:val="22"/>
                    </w:rPr>
                    <w:t>.</w:t>
                  </w:r>
                </w:p>
                <w:p w:rsidR="00FE33AA" w:rsidRDefault="00FE33AA" w:rsidP="00A2243A"/>
              </w:txbxContent>
            </v:textbox>
          </v:shape>
        </w:pict>
      </w:r>
    </w:p>
    <w:p w:rsidR="00FE33AA" w:rsidRDefault="00FE33AA" w:rsidP="00A2243A">
      <w:pPr>
        <w:jc w:val="both"/>
      </w:pPr>
    </w:p>
    <w:p w:rsidR="00FE33AA" w:rsidRDefault="00FE33AA" w:rsidP="00A2243A">
      <w:pPr>
        <w:jc w:val="both"/>
      </w:pPr>
    </w:p>
    <w:p w:rsidR="00FE33AA" w:rsidRDefault="00FE33AA" w:rsidP="00A2243A">
      <w:pPr>
        <w:jc w:val="both"/>
      </w:pPr>
    </w:p>
    <w:p w:rsidR="00FE33AA" w:rsidRDefault="00FE33AA" w:rsidP="00A2243A">
      <w:pPr>
        <w:jc w:val="both"/>
      </w:pPr>
    </w:p>
    <w:p w:rsidR="00FE33AA" w:rsidRDefault="00FE33AA" w:rsidP="00A2243A">
      <w:pPr>
        <w:jc w:val="both"/>
      </w:pPr>
    </w:p>
    <w:p w:rsidR="00FE33AA" w:rsidRDefault="00FE33AA" w:rsidP="00A2243A">
      <w:pPr>
        <w:jc w:val="both"/>
      </w:pPr>
    </w:p>
    <w:p w:rsidR="00FE33AA" w:rsidRDefault="00FE33AA" w:rsidP="00A2243A">
      <w:pPr>
        <w:jc w:val="both"/>
      </w:pPr>
      <w:r>
        <w:t xml:space="preserve">Riguardo al secondo rilievo esposto nella nota del 16 gennaio 2013 si rimarca che esso si riferisce alla costituzione della cauzione definitiva. </w:t>
      </w:r>
    </w:p>
    <w:p w:rsidR="00FE33AA" w:rsidRDefault="00FE33AA" w:rsidP="00A2243A">
      <w:pPr>
        <w:jc w:val="both"/>
      </w:pPr>
      <w:r>
        <w:t>In ogni caso si riporta di seguito uno stralcio di pag. 16 del Disciplinare di Gara con il quale sono già stati recepiti i suggerimenti proposti:</w:t>
      </w:r>
    </w:p>
    <w:p w:rsidR="00FE33AA" w:rsidRDefault="00FE33AA" w:rsidP="00A2243A"/>
    <w:p w:rsidR="00FE33AA" w:rsidRDefault="00FE33AA" w:rsidP="00A2243A">
      <w:r>
        <w:rPr>
          <w:noProof/>
        </w:rPr>
        <w:pict>
          <v:shape id="_x0000_s1027" type="#_x0000_t202" style="position:absolute;margin-left:0;margin-top:.75pt;width:483pt;height:141.65pt;z-index:251659264;visibility:visible;mso-position-horizontal: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Q8VKwIAAFQEAAAOAAAAZHJzL2Uyb0RvYy54bWysVNtu2zAMfR+wfxD0vtpOky4x6hRdugwD&#10;ugvQ7QNoWY6FyaImqbG7ry8lp2l2exnmB4EUqUPykPTl1dhrtpfOKzQVL85yzqQR2Cizq/jXL9tX&#10;S858ANOARiMr/iA9v1q/fHE52FLOsEPdSMcIxPhysBXvQrBllnnRyR78GVppyNii6yGQ6nZZ42Ag&#10;9F5nszy/yAZ0jXUopPd0ezMZ+Trht60U4VPbehmYrjjlFtLp0lnHM1tfQrlzYDslDmnAP2TRgzIU&#10;9Ah1AwHYvVO/QfVKOPTYhjOBfYZtq4RMNVA1Rf5LNXcdWJlqIXK8PdLk/x+s+Lj/7JhqKn7OmYGe&#10;WrQBL7UG1igWpA/IZpGlwfqSnO8suYfxDY7U7VSxt7covnlmcNOB2clr53DoJDSUZRFfZidPJxwf&#10;QerhAzYUDu4DJqCxdX2kkEhhhE7dejh2SI6BCbq8KM7nRU4mQbZinp+vlosUA8qn59b58E5iz6JQ&#10;cUcjkOBhf+tDTAfKJ5cYzaNWzVZpnRS3qzfasT3QuGzTd0D/yU0bNlR8tZgtJgb+CpGn708QvQo0&#10;91r1FV8enaCMvL01TZrKAEpPMqWszYHIyN3EYhjrMXUusRxJrrF5IGYdTmNOa0lCh+4HZwONeMX9&#10;93twkjP93lB3VsV8HnciKfPF6xkp7tRSn1rACIKqeOBsEjch7VHizV5TF7cq8fucySFlGt1E+2HN&#10;4m6c6snr+WewfgQAAP//AwBQSwMEFAAGAAgAAAAhAFWbBu/aAAAABQEAAA8AAABkcnMvZG93bnJl&#10;di54bWxMj8FOwzAQRO+V+g/WInGpqJOgRhDiVFCpJ04N5e7GSxIRr1PbbdO/Z+FSLiONZjXztlxP&#10;dhBn9KF3pCBdJiCQGmd6ahXsP7YPTyBC1GT04AgVXDHAuprPSl0Yd6EdnuvYCi6hUGgFXYxjIWVo&#10;OrQ6LN2IxNmX81ZHtr6VxusLl9tBZkmSS6t74oVOj7jpsPmuT1ZBfqwfF++fZkG76/bNN3ZlNvuV&#10;Uvd30+sLiIhTvB3DLz6jQ8VMB3ciE8SggB+Jf8rZc56zPSjIsjQFWZXyP331AwAA//8DAFBLAQIt&#10;ABQABgAIAAAAIQC2gziS/gAAAOEBAAATAAAAAAAAAAAAAAAAAAAAAABbQ29udGVudF9UeXBlc10u&#10;eG1sUEsBAi0AFAAGAAgAAAAhADj9If/WAAAAlAEAAAsAAAAAAAAAAAAAAAAALwEAAF9yZWxzLy5y&#10;ZWxzUEsBAi0AFAAGAAgAAAAhACZBDxUrAgAAVAQAAA4AAAAAAAAAAAAAAAAALgIAAGRycy9lMm9E&#10;b2MueG1sUEsBAi0AFAAGAAgAAAAhAFWbBu/aAAAABQEAAA8AAAAAAAAAAAAAAAAAhQQAAGRycy9k&#10;b3ducmV2LnhtbFBLBQYAAAAABAAEAPMAAACMBQAAAAA=&#10;">
            <v:textbox style="mso-fit-shape-to-text:t">
              <w:txbxContent>
                <w:p w:rsidR="00FE33AA" w:rsidRPr="005E1FD0" w:rsidRDefault="00FE33AA" w:rsidP="00A2243A">
                  <w:pPr>
                    <w:spacing w:line="276" w:lineRule="auto"/>
                    <w:ind w:left="360" w:hanging="360"/>
                    <w:jc w:val="both"/>
                    <w:rPr>
                      <w:sz w:val="22"/>
                      <w:szCs w:val="22"/>
                    </w:rPr>
                  </w:pPr>
                  <w:r w:rsidRPr="005E1FD0">
                    <w:rPr>
                      <w:b/>
                      <w:sz w:val="22"/>
                      <w:szCs w:val="22"/>
                    </w:rPr>
                    <w:t>6)</w:t>
                  </w:r>
                  <w:r w:rsidRPr="005E1FD0">
                    <w:rPr>
                      <w:sz w:val="22"/>
                      <w:szCs w:val="22"/>
                    </w:rPr>
                    <w:tab/>
                  </w:r>
                  <w:r w:rsidRPr="005E1FD0">
                    <w:rPr>
                      <w:b/>
                      <w:sz w:val="22"/>
                      <w:szCs w:val="22"/>
                    </w:rPr>
                    <w:t xml:space="preserve">GARANZIA (sotto forma di cauzione o di fideiussione, a scelta dell’offerente) </w:t>
                  </w:r>
                  <w:r w:rsidRPr="005E1FD0">
                    <w:rPr>
                      <w:sz w:val="22"/>
                      <w:szCs w:val="22"/>
                    </w:rPr>
                    <w:t>nella misura e nei modi previsti  dall’articolo 75 del D.Lgs. 163/2006. La garanzia fideiussoria deve essere conforme allo schema di polizza tipo (1.1) approvato dal Ministero delle Attività Produttive con Decreto 12 marzo 2004 n. 123, tenendo conto delle norme del D. Lgs. 163/2006.</w:t>
                  </w:r>
                </w:p>
                <w:p w:rsidR="00FE33AA" w:rsidRPr="005E1FD0" w:rsidRDefault="00FE33AA" w:rsidP="00A2243A">
                  <w:pPr>
                    <w:pStyle w:val="CM28"/>
                    <w:spacing w:after="0" w:line="276" w:lineRule="auto"/>
                    <w:ind w:left="360" w:right="147"/>
                    <w:jc w:val="both"/>
                    <w:rPr>
                      <w:rFonts w:ascii="Times New Roman" w:hAnsi="Times New Roman"/>
                      <w:sz w:val="22"/>
                      <w:szCs w:val="22"/>
                    </w:rPr>
                  </w:pPr>
                  <w:r>
                    <w:rPr>
                      <w:rFonts w:ascii="Times New Roman" w:hAnsi="Times New Roman"/>
                      <w:sz w:val="22"/>
                      <w:szCs w:val="22"/>
                    </w:rPr>
                    <w:t>……….</w:t>
                  </w:r>
                </w:p>
                <w:p w:rsidR="00FE33AA" w:rsidRDefault="00FE33AA" w:rsidP="00A2243A">
                  <w:pPr>
                    <w:pStyle w:val="CM28"/>
                    <w:spacing w:after="0" w:line="276" w:lineRule="auto"/>
                    <w:ind w:left="360" w:right="147"/>
                    <w:jc w:val="both"/>
                    <w:rPr>
                      <w:rFonts w:ascii="Times New Roman" w:hAnsi="Times New Roman"/>
                      <w:sz w:val="22"/>
                      <w:szCs w:val="22"/>
                    </w:rPr>
                  </w:pPr>
                  <w:r w:rsidRPr="005D1B78">
                    <w:rPr>
                      <w:rFonts w:ascii="Times New Roman" w:hAnsi="Times New Roman"/>
                      <w:sz w:val="22"/>
                      <w:szCs w:val="22"/>
                    </w:rPr>
                    <w:t xml:space="preserve">La garanzia deve prevedere </w:t>
                  </w:r>
                  <w:r w:rsidRPr="00CE1211">
                    <w:rPr>
                      <w:rFonts w:ascii="Times New Roman" w:hAnsi="Times New Roman"/>
                      <w:sz w:val="22"/>
                      <w:szCs w:val="22"/>
                      <w:u w:val="single"/>
                    </w:rPr>
                    <w:t>espressamente la rinuncia al beneficio della preventiva escussione del debitore principale</w:t>
                  </w:r>
                  <w:r w:rsidRPr="005D1B78">
                    <w:rPr>
                      <w:rFonts w:ascii="Times New Roman" w:hAnsi="Times New Roman"/>
                      <w:sz w:val="22"/>
                      <w:szCs w:val="22"/>
                    </w:rPr>
                    <w:t>, la rinuncia all’eccezione di cui all’art.1957, comma 2, del codice civile, nonché l’operatività della garanzia medesima entro quindici giorni, a semplice richiesta scritta della stazione appaltante, avente validità per almeno pari alla validità dell’offerta (giorni 180) e stipulata esclusivamente per la gara alla quale è riferita.</w:t>
                  </w:r>
                </w:p>
                <w:p w:rsidR="00FE33AA" w:rsidRPr="00A2243A" w:rsidRDefault="00FE33AA" w:rsidP="00A2243A">
                  <w:pPr>
                    <w:pStyle w:val="CM28"/>
                    <w:spacing w:after="0" w:line="276" w:lineRule="auto"/>
                    <w:ind w:left="360" w:right="147"/>
                    <w:jc w:val="both"/>
                    <w:rPr>
                      <w:rFonts w:ascii="Times New Roman" w:hAnsi="Times New Roman"/>
                      <w:sz w:val="22"/>
                      <w:szCs w:val="22"/>
                    </w:rPr>
                  </w:pPr>
                  <w:r>
                    <w:rPr>
                      <w:rFonts w:ascii="Times New Roman" w:hAnsi="Times New Roman"/>
                      <w:sz w:val="22"/>
                      <w:szCs w:val="22"/>
                    </w:rPr>
                    <w:t>…………</w:t>
                  </w:r>
                </w:p>
              </w:txbxContent>
            </v:textbox>
          </v:shape>
        </w:pict>
      </w:r>
    </w:p>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A2243A"/>
    <w:p w:rsidR="00FE33AA" w:rsidRDefault="00FE33AA" w:rsidP="00314ED4">
      <w:pPr>
        <w:jc w:val="both"/>
      </w:pPr>
      <w:r>
        <w:t>Per quanto chiarito in precedenza si è ritenuto di non procedere</w:t>
      </w:r>
      <w:bookmarkStart w:id="0" w:name="_GoBack"/>
      <w:bookmarkEnd w:id="0"/>
      <w:r>
        <w:t xml:space="preserve"> ad alcuna rettifica della documentazione di gara.</w:t>
      </w:r>
    </w:p>
    <w:p w:rsidR="00FE33AA" w:rsidRDefault="00FE33AA" w:rsidP="00A2243A"/>
    <w:sectPr w:rsidR="00FE33AA" w:rsidSect="004078A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7DD6"/>
    <w:rsid w:val="00251127"/>
    <w:rsid w:val="00314ED4"/>
    <w:rsid w:val="00337F83"/>
    <w:rsid w:val="004078A2"/>
    <w:rsid w:val="00593D6F"/>
    <w:rsid w:val="005D1B78"/>
    <w:rsid w:val="005E1FD0"/>
    <w:rsid w:val="00626287"/>
    <w:rsid w:val="00676179"/>
    <w:rsid w:val="00866421"/>
    <w:rsid w:val="00A2243A"/>
    <w:rsid w:val="00BE1DE4"/>
    <w:rsid w:val="00CE1211"/>
    <w:rsid w:val="00EC7DD6"/>
    <w:rsid w:val="00F41E87"/>
    <w:rsid w:val="00FE33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7F83"/>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F41E87"/>
    <w:rPr>
      <w:rFonts w:ascii="Tahoma" w:eastAsia="Calibri" w:hAnsi="Tahoma" w:cs="Tahoma"/>
      <w:sz w:val="16"/>
      <w:szCs w:val="16"/>
      <w:lang w:eastAsia="en-US"/>
    </w:rPr>
  </w:style>
  <w:style w:type="character" w:customStyle="1" w:styleId="BalloonTextChar">
    <w:name w:val="Balloon Text Char"/>
    <w:basedOn w:val="DefaultParagraphFont"/>
    <w:link w:val="BalloonText"/>
    <w:uiPriority w:val="99"/>
    <w:semiHidden/>
    <w:locked/>
    <w:rsid w:val="00F41E87"/>
    <w:rPr>
      <w:rFonts w:ascii="Tahoma" w:hAnsi="Tahoma" w:cs="Tahoma"/>
      <w:sz w:val="16"/>
      <w:szCs w:val="16"/>
    </w:rPr>
  </w:style>
  <w:style w:type="paragraph" w:customStyle="1" w:styleId="CM28">
    <w:name w:val="CM28"/>
    <w:basedOn w:val="Normal"/>
    <w:next w:val="Normal"/>
    <w:uiPriority w:val="99"/>
    <w:rsid w:val="00337F83"/>
    <w:pPr>
      <w:widowControl w:val="0"/>
      <w:autoSpaceDE w:val="0"/>
      <w:autoSpaceDN w:val="0"/>
      <w:adjustRightInd w:val="0"/>
      <w:spacing w:after="220"/>
    </w:pPr>
    <w:rPr>
      <w:rFonts w:ascii="Times" w:hAnsi="Tim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117</Words>
  <Characters>669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riscontra la nota del 16 u</dc:title>
  <dc:subject/>
  <dc:creator>danielelogozzo</dc:creator>
  <cp:keywords/>
  <dc:description/>
  <cp:lastModifiedBy>Ance</cp:lastModifiedBy>
  <cp:revision>2</cp:revision>
  <cp:lastPrinted>2013-01-29T12:33:00Z</cp:lastPrinted>
  <dcterms:created xsi:type="dcterms:W3CDTF">2013-02-12T10:48:00Z</dcterms:created>
  <dcterms:modified xsi:type="dcterms:W3CDTF">2013-02-12T10:48:00Z</dcterms:modified>
</cp:coreProperties>
</file>